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46" w:rsidRPr="00454A21" w:rsidRDefault="00560D46" w:rsidP="00882FF9">
      <w:pPr>
        <w:rPr>
          <w:rFonts w:ascii="仿宋_GB2312" w:eastAsia="仿宋_GB2312"/>
          <w:b/>
          <w:sz w:val="28"/>
          <w:szCs w:val="28"/>
        </w:rPr>
      </w:pPr>
      <w:r w:rsidRPr="00454A21">
        <w:rPr>
          <w:rFonts w:ascii="仿宋_GB2312" w:eastAsia="仿宋_GB2312" w:hint="eastAsia"/>
          <w:b/>
          <w:sz w:val="28"/>
          <w:szCs w:val="28"/>
        </w:rPr>
        <w:t>附件：</w:t>
      </w:r>
    </w:p>
    <w:p w:rsidR="00560D46" w:rsidRPr="00454A21" w:rsidRDefault="00560D46" w:rsidP="00882FF9">
      <w:pPr>
        <w:jc w:val="center"/>
        <w:rPr>
          <w:rFonts w:ascii="方正大黑简体" w:eastAsia="方正大黑简体"/>
          <w:sz w:val="28"/>
          <w:szCs w:val="28"/>
        </w:rPr>
      </w:pPr>
      <w:r w:rsidRPr="00454A21">
        <w:rPr>
          <w:rFonts w:ascii="方正大黑简体" w:eastAsia="方正大黑简体" w:hAnsi="Arial" w:cs="Arial"/>
          <w:b/>
          <w:bCs/>
          <w:sz w:val="28"/>
          <w:szCs w:val="28"/>
        </w:rPr>
        <w:t>Conference 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7"/>
        <w:gridCol w:w="3157"/>
        <w:gridCol w:w="5140"/>
      </w:tblGrid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May 29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Speakers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Title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8:00–8:15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Zhen-Sheng Kang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Welcome</w:t>
            </w:r>
          </w:p>
        </w:tc>
      </w:tr>
      <w:tr w:rsidR="00560D46" w:rsidRPr="00454A21" w:rsidTr="00454A21">
        <w:trPr>
          <w:trHeight w:val="288"/>
        </w:trPr>
        <w:tc>
          <w:tcPr>
            <w:tcW w:w="5000" w:type="pct"/>
            <w:gridSpan w:val="3"/>
            <w:vAlign w:val="center"/>
          </w:tcPr>
          <w:p w:rsidR="00560D46" w:rsidRPr="00454A21" w:rsidRDefault="00560D46" w:rsidP="00454A21">
            <w:pPr>
              <w:ind w:firstLine="720"/>
              <w:jc w:val="center"/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  <w:vertAlign w:val="superscript"/>
              </w:rPr>
              <w:t>st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section chaired by Dr. Sheng-Li Ding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8:15–8:45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Dr. Yin-Won Lee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0E1BBF">
            <w:pPr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Autoregulation of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ZEB2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expression for zearalenone production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8:45–9:15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Zhong-Hua Ma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马忠华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0E1BBF">
            <w:pPr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Interaction of TOR with MAPK pathways in </w:t>
            </w:r>
            <w:r w:rsidRPr="00454A21">
              <w:rPr>
                <w:rFonts w:ascii="Times New Roman" w:eastAsia="华文中宋" w:hAnsi="Times New Roman"/>
                <w:i/>
                <w:iCs/>
                <w:kern w:val="0"/>
                <w:sz w:val="24"/>
                <w:szCs w:val="20"/>
              </w:rPr>
              <w:t>F. 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9:15–9:45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Dr. Zong-Hua Wang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王宗华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0E1BBF">
            <w:pPr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RabGTAases are essential for membrane trafficking-dependent growth and pathogenicity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</w:p>
        </w:tc>
      </w:tr>
      <w:tr w:rsidR="00560D46" w:rsidRPr="00454A21" w:rsidTr="00454A21">
        <w:trPr>
          <w:trHeight w:val="432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9:45–10:00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Coffee break</w:t>
            </w:r>
          </w:p>
        </w:tc>
      </w:tr>
      <w:tr w:rsidR="00560D46" w:rsidRPr="00454A21" w:rsidTr="00454A21">
        <w:trPr>
          <w:trHeight w:val="288"/>
        </w:trPr>
        <w:tc>
          <w:tcPr>
            <w:tcW w:w="5000" w:type="pct"/>
            <w:gridSpan w:val="3"/>
            <w:vAlign w:val="center"/>
          </w:tcPr>
          <w:p w:rsidR="00560D46" w:rsidRPr="00454A21" w:rsidRDefault="00560D46" w:rsidP="00454A21">
            <w:pPr>
              <w:ind w:firstLine="720"/>
              <w:jc w:val="center"/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2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  <w:vertAlign w:val="superscript"/>
              </w:rPr>
              <w:t>nd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section chaired by Dr. Ling-Rang Kong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10:00–10:30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Sung-Hwan Yun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Toward a comprehensive understanding of sexual development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10:30–11:00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Ming-Guo Zhou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周明国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Mechanisms and management of fungicide resistance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Gibberellazeae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11:00–11:30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Yu-Cai Liao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廖玉才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Isolation and characterization of novel resistance germplasms against Fusarium pathogens in fields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11:30–12:00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Dr. Jin-Rong Xu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Identification and characterization of putative effector proteins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</w:p>
        </w:tc>
      </w:tr>
      <w:tr w:rsidR="00560D46" w:rsidRPr="00454A21" w:rsidTr="00454A21">
        <w:trPr>
          <w:trHeight w:val="432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12:00–14:00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Lunch, buffet at the Guest House</w:t>
            </w:r>
          </w:p>
        </w:tc>
      </w:tr>
      <w:tr w:rsidR="00560D46" w:rsidRPr="00454A21" w:rsidTr="00454A21">
        <w:trPr>
          <w:trHeight w:val="288"/>
        </w:trPr>
        <w:tc>
          <w:tcPr>
            <w:tcW w:w="5000" w:type="pct"/>
            <w:gridSpan w:val="3"/>
            <w:vAlign w:val="center"/>
          </w:tcPr>
          <w:p w:rsidR="00560D46" w:rsidRPr="00454A21" w:rsidRDefault="00560D46" w:rsidP="00454A21">
            <w:pPr>
              <w:ind w:firstLine="720"/>
              <w:jc w:val="center"/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3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  <w:vertAlign w:val="superscript"/>
              </w:rPr>
              <w:t>nd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section chaired by Dr. Chang-Jun Chen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14:00–14:30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Yang Liu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刘阳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Yap1 transcriptional factor regulates Tri gene expression and deoxynivalenol biosynthesis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14:30–15:00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Dr. Jian-Rong Shi </w:t>
            </w:r>
            <w:r w:rsidRPr="00454A21">
              <w:rPr>
                <w:rFonts w:ascii="Times New Roman" w:eastAsia="华文中宋" w:hAnsi="华文中宋" w:hint="eastAsia"/>
                <w:bCs/>
                <w:kern w:val="0"/>
                <w:sz w:val="24"/>
                <w:szCs w:val="20"/>
                <w:u w:color="000000"/>
              </w:rPr>
              <w:t>史建荣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bCs/>
                <w:i/>
                <w:kern w:val="0"/>
                <w:sz w:val="24"/>
                <w:szCs w:val="20"/>
                <w:u w:color="000000"/>
              </w:rPr>
            </w:pP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Detection and survey of mycotoxins produced by </w:t>
            </w:r>
            <w:r w:rsidRPr="00454A21">
              <w:rPr>
                <w:rFonts w:ascii="Times New Roman" w:eastAsia="华文中宋" w:hAnsi="Times New Roman"/>
                <w:bCs/>
                <w:i/>
                <w:kern w:val="0"/>
                <w:sz w:val="24"/>
                <w:szCs w:val="20"/>
                <w:u w:color="000000"/>
              </w:rPr>
              <w:t>Fusariumgraminearum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15:00–15:30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Wei-Hua Tang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唐威华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Cytological and Gene Expression Analysis during Maize Stalk Colonization Elucidates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Strategies in Confronting Host Extracellular Environment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15:30–15:45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Ling-Rang Kong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孔令让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High-density mapping of a major FHB resistance gene Fhb7 derived from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Thinopyrumponticum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and its pyramiding with Fhb1 by marker-assisted selection</w:t>
            </w:r>
          </w:p>
        </w:tc>
      </w:tr>
      <w:tr w:rsidR="00560D46" w:rsidRPr="00454A21" w:rsidTr="00454A21">
        <w:trPr>
          <w:trHeight w:val="432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15:45–16:00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Coffee break</w:t>
            </w:r>
          </w:p>
        </w:tc>
      </w:tr>
      <w:tr w:rsidR="00560D46" w:rsidRPr="00454A21" w:rsidTr="00454A21">
        <w:trPr>
          <w:trHeight w:val="288"/>
        </w:trPr>
        <w:tc>
          <w:tcPr>
            <w:tcW w:w="5000" w:type="pct"/>
            <w:gridSpan w:val="3"/>
            <w:vAlign w:val="center"/>
          </w:tcPr>
          <w:p w:rsidR="00560D46" w:rsidRPr="00454A21" w:rsidRDefault="00560D46" w:rsidP="00454A21">
            <w:pPr>
              <w:spacing w:line="360" w:lineRule="exact"/>
              <w:ind w:firstLine="720"/>
              <w:jc w:val="center"/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4th section chaired by Dr. Wei-Hua Tang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16:00–16:30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Chang-Jun Chen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陈长军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Progress in functional genes and genomics of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 in NJAU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16:30–17:00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Xu Zhang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张旭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Action and reaction of host and pathogen during Fusarium head blight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17:00–17:30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</w:pP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Dr. Sheng-Li Ding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丁胜利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</w:pP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Histone acetylation and </w:t>
            </w:r>
            <w:r w:rsidRPr="00454A21">
              <w:rPr>
                <w:rFonts w:ascii="Times New Roman" w:eastAsia="华文中宋" w:hAnsi="Times New Roman"/>
                <w:bCs/>
                <w:i/>
                <w:kern w:val="0"/>
                <w:sz w:val="24"/>
                <w:szCs w:val="20"/>
                <w:u w:color="000000"/>
              </w:rPr>
              <w:t>Fusariumgraminearum</w:t>
            </w: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 pathogenesis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17:30-18:00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Dr. John Leslie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i/>
                <w:iCs/>
                <w:kern w:val="0"/>
                <w:sz w:val="24"/>
                <w:szCs w:val="20"/>
              </w:rPr>
              <w:t>Fusariumgraminearum</w:t>
            </w: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: Species or clade?</w:t>
            </w:r>
          </w:p>
        </w:tc>
      </w:tr>
      <w:tr w:rsidR="00560D46" w:rsidRPr="00454A21" w:rsidTr="00454A21">
        <w:trPr>
          <w:trHeight w:val="720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18:30–20:30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Banquet at the Guest House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560D46">
            <w:pPr>
              <w:ind w:leftChars="-10" w:left="31680" w:hangingChars="10" w:firstLine="31680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560D46">
            <w:pPr>
              <w:ind w:leftChars="-10" w:left="31680" w:hangingChars="10" w:firstLine="31680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May 30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</w:p>
        </w:tc>
      </w:tr>
      <w:tr w:rsidR="00560D46" w:rsidRPr="00454A21" w:rsidTr="00454A21">
        <w:trPr>
          <w:trHeight w:val="288"/>
        </w:trPr>
        <w:tc>
          <w:tcPr>
            <w:tcW w:w="5000" w:type="pct"/>
            <w:gridSpan w:val="3"/>
            <w:vAlign w:val="center"/>
          </w:tcPr>
          <w:p w:rsidR="00560D46" w:rsidRPr="00454A21" w:rsidRDefault="00560D46" w:rsidP="00454A21">
            <w:pPr>
              <w:spacing w:line="360" w:lineRule="exact"/>
              <w:ind w:firstLine="720"/>
              <w:jc w:val="center"/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5th section chaired by Dr. Xu Zhang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8:45-9:15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Dr. Hao Zhang 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张昊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Functional analysis of peroxin encoding genes FgPex14 and FgPex14/17 of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Fusariumgraminearum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9:15-9:30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</w:pP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Dr. Chen-Fang Wang </w:t>
            </w:r>
            <w:r w:rsidRPr="00454A21">
              <w:rPr>
                <w:rFonts w:ascii="Times New Roman" w:eastAsia="华文中宋" w:hAnsi="华文中宋" w:hint="eastAsia"/>
                <w:bCs/>
                <w:kern w:val="0"/>
                <w:sz w:val="24"/>
                <w:szCs w:val="20"/>
                <w:u w:color="000000"/>
              </w:rPr>
              <w:t>王晨芳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Systematic characterization of unique secreted proteins in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 xml:space="preserve"> F. 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9:30-9:45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Dr. Qiao-Jun Jin</w:t>
            </w:r>
            <w:r w:rsidRPr="00454A21">
              <w:rPr>
                <w:rFonts w:ascii="Times New Roman" w:eastAsia="华文中宋" w:hAnsi="华文中宋" w:hint="eastAsia"/>
                <w:kern w:val="0"/>
                <w:sz w:val="24"/>
                <w:szCs w:val="20"/>
              </w:rPr>
              <w:t>金巧军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Prp4 regulates spliceosome B-complex activation and intron splicing efficiency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9:45-10:00</w:t>
            </w:r>
          </w:p>
        </w:tc>
        <w:tc>
          <w:tcPr>
            <w:tcW w:w="1602" w:type="pct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</w:pPr>
            <w:r w:rsidRPr="00454A21">
              <w:rPr>
                <w:rFonts w:ascii="Times New Roman" w:eastAsia="华文中宋" w:hAnsi="Times New Roman"/>
                <w:bCs/>
                <w:kern w:val="0"/>
                <w:sz w:val="24"/>
                <w:szCs w:val="20"/>
                <w:u w:color="000000"/>
              </w:rPr>
              <w:t xml:space="preserve">Dr. Hui-Quan Liu </w:t>
            </w:r>
            <w:r w:rsidRPr="00454A21">
              <w:rPr>
                <w:rFonts w:ascii="Times New Roman" w:eastAsia="华文中宋" w:hAnsi="华文中宋" w:hint="eastAsia"/>
                <w:bCs/>
                <w:kern w:val="0"/>
                <w:sz w:val="24"/>
                <w:szCs w:val="20"/>
                <w:u w:color="000000"/>
              </w:rPr>
              <w:t>刘慧泉</w:t>
            </w:r>
          </w:p>
        </w:tc>
        <w:tc>
          <w:tcPr>
            <w:tcW w:w="2608" w:type="pct"/>
            <w:vAlign w:val="center"/>
          </w:tcPr>
          <w:p w:rsidR="00560D46" w:rsidRPr="00454A21" w:rsidRDefault="00560D46" w:rsidP="00454A21">
            <w:pPr>
              <w:spacing w:line="360" w:lineRule="exact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 xml:space="preserve">Distinct functions of Cdc2A and Cdc2B in different growth and developmental stages in </w:t>
            </w:r>
            <w:r w:rsidRPr="00454A21">
              <w:rPr>
                <w:rFonts w:ascii="Times New Roman" w:eastAsia="华文中宋" w:hAnsi="Times New Roman"/>
                <w:i/>
                <w:kern w:val="0"/>
                <w:sz w:val="24"/>
                <w:szCs w:val="20"/>
              </w:rPr>
              <w:t>F. graminearum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10:00-10:15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bCs/>
                <w:kern w:val="0"/>
                <w:sz w:val="24"/>
                <w:szCs w:val="20"/>
                <w:u w:color="000000"/>
              </w:rPr>
              <w:t>Tea Break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454A21">
            <w:pPr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10:15-12:00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Discussions</w:t>
            </w:r>
          </w:p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Chaired by Dr. Zheng-Sheng Kang and Dr. Jin-Rong Xu</w:t>
            </w:r>
          </w:p>
        </w:tc>
      </w:tr>
      <w:tr w:rsidR="00560D46" w:rsidRPr="00454A21" w:rsidTr="00454A21">
        <w:trPr>
          <w:trHeight w:val="576"/>
        </w:trPr>
        <w:tc>
          <w:tcPr>
            <w:tcW w:w="790" w:type="pct"/>
            <w:vAlign w:val="center"/>
          </w:tcPr>
          <w:p w:rsidR="00560D46" w:rsidRPr="00454A21" w:rsidRDefault="00560D46" w:rsidP="00560D46">
            <w:pPr>
              <w:ind w:leftChars="-10" w:left="31680" w:hangingChars="10" w:firstLine="31680"/>
              <w:jc w:val="center"/>
              <w:rPr>
                <w:rFonts w:ascii="Times New Roman" w:eastAsia="华文中宋" w:hAnsi="Times New Roman"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kern w:val="0"/>
                <w:sz w:val="24"/>
                <w:szCs w:val="20"/>
              </w:rPr>
              <w:t>12:00 – 14:00</w:t>
            </w:r>
          </w:p>
        </w:tc>
        <w:tc>
          <w:tcPr>
            <w:tcW w:w="4210" w:type="pct"/>
            <w:gridSpan w:val="2"/>
            <w:vAlign w:val="center"/>
          </w:tcPr>
          <w:p w:rsidR="00560D46" w:rsidRPr="00454A21" w:rsidRDefault="00560D46" w:rsidP="00454A21">
            <w:pPr>
              <w:spacing w:line="360" w:lineRule="exact"/>
              <w:jc w:val="center"/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</w:pPr>
            <w:r w:rsidRPr="00454A21">
              <w:rPr>
                <w:rFonts w:ascii="Times New Roman" w:eastAsia="华文中宋" w:hAnsi="Times New Roman"/>
                <w:b/>
                <w:kern w:val="0"/>
                <w:sz w:val="24"/>
                <w:szCs w:val="20"/>
              </w:rPr>
              <w:t>Lunch</w:t>
            </w:r>
          </w:p>
        </w:tc>
      </w:tr>
    </w:tbl>
    <w:p w:rsidR="00560D46" w:rsidRDefault="00560D46"/>
    <w:sectPr w:rsidR="00560D46" w:rsidSect="00454A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46" w:rsidRDefault="00560D46" w:rsidP="00882FF9">
      <w:r>
        <w:separator/>
      </w:r>
    </w:p>
  </w:endnote>
  <w:endnote w:type="continuationSeparator" w:id="1">
    <w:p w:rsidR="00560D46" w:rsidRDefault="00560D46" w:rsidP="0088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46" w:rsidRDefault="00560D46" w:rsidP="00882FF9">
      <w:r>
        <w:separator/>
      </w:r>
    </w:p>
  </w:footnote>
  <w:footnote w:type="continuationSeparator" w:id="1">
    <w:p w:rsidR="00560D46" w:rsidRDefault="00560D46" w:rsidP="00882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FF9"/>
    <w:rsid w:val="000E1BBF"/>
    <w:rsid w:val="00454A21"/>
    <w:rsid w:val="004C5AD8"/>
    <w:rsid w:val="00560D46"/>
    <w:rsid w:val="00882FF9"/>
    <w:rsid w:val="008930D8"/>
    <w:rsid w:val="008B5C1C"/>
    <w:rsid w:val="00993D28"/>
    <w:rsid w:val="00BD2021"/>
    <w:rsid w:val="00D5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8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2FF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2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2FF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82FF9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421</Words>
  <Characters>2400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彭科峰</dc:creator>
  <cp:keywords/>
  <dc:description/>
  <cp:lastModifiedBy>微软用户</cp:lastModifiedBy>
  <cp:revision>3</cp:revision>
  <dcterms:created xsi:type="dcterms:W3CDTF">2015-05-26T06:27:00Z</dcterms:created>
  <dcterms:modified xsi:type="dcterms:W3CDTF">2015-05-26T06:31:00Z</dcterms:modified>
</cp:coreProperties>
</file>